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6c319160bef44d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13295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BOL, SPLIT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2.048.729,71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2.256.685,49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2.017.731,09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2.404.096,74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147.411,25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36.062,24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36.062,24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26.466,79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173.878,04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3433,9</w:t>
            </w:r>
          </w:p>
        </w:tc>
      </w:tr>
    </w:tbl>
    <w:p>
      <w:pPr>
        <w:spacing w:before="0" w:after="0"/>
      </w:pPr>
    </w:p>
    <w:p>
      <w:r>
        <w:t xml:space="preserve">Financijski izvještaj za 2025. uključuje obrasce PR-RAS, BILANCU, RAS-funkcijski, P-VRIO, OBVEZE i EU izvještaj po izvorima financiranja. U PR-RAS financijskom obrascu sučeljavamo ostvarene prihode na kontu 6 i 7 te rashode na kontu 3 i 4. Dolazimo do iznosa koji predstavlja ukupno ostvareni manjak (6+7-3-4) na razini godine: 173.878.04 €. Pribrajanjem prenesenog viška početkom godine iznos manjka postaje: 170.608,89 €. To je trenutni financijski rezultat, ne za raspolaganje već za pokriće (manjak) u narednom razdoblju. (Nazivamo ga metodološkim manjkom jer obračun evidentira obveze koje će u sljedećem razdoblju biti zatvorene isplatama plaća i prava, plaćanjem ulaznih računa, u što ulaze i troškovi prehrane). Nenaplaćeni prihodi (a obračunati) iznose 155.878,21 € i trebali bi uplatom podići konačni rezultat. U njih ulaze i očekivani prihodi od roditelja za usluge produženog boravka. Obveze koje su na dan preostale za podmiru su nedospjele i iznose 200.602,00€. Rezultat su prenesenog/početnog stanja nepodmirenih obveza, ostvarenih obveza i podmirenih obveza u razdoblju. RAS-funkcijski ukupne rashode konta 3 i 4 prikazuje u funkciji osnovnoškolskog obrazovanja (2.289.293,96 €) i prehrane (141.568,82 €). U izvješću P-VRIO bilježe se promjene u obumu i vrijednosti imovine. Iznos smanjenja vridenosti imovine amortizacijom je 22.259,26 €.</w:t>
      </w:r>
    </w:p>
    <w:p>
      <w:r>
        <w:t xml:space="preserve"> </w:t>
      </w:r>
    </w:p>
    <w:p>
      <w:r>
        <w:t xml:space="preserve">Konkretnije u PR-RAS obrascu:</w:t>
      </w:r>
    </w:p>
    <w:p>
      <w:r>
        <w:t xml:space="preserve">10%-tno povećanje se taman smatra značajnim, a bilježimo ga u ukupnim prihodima u  odnosu na prethodnu godinu. Rezultat je povećanja prihoda od Ministarstva (za plaće i prava), prihoda od roditelja (povećan broj djece u produženom boravku) te prihoda od osnivača. Razina 671 objedinjuje konta 6711 i 6712, gdje bilježimo prihode iz nadležnog proračuna za poslovanje i nefinancijsku imovinu. Sukladno trendu, povećanje je u iznosu 33%. Prihod od najma dvorane bilježimo u manjim iznosima od lanjskih, a i dalje je jedan najmoprimac bio neuredan u podmirivanju obveza iz najma. Tekuće donacije bilježimo u gotovo jednakom kumulativnom iznosu kao prethodne godine. Naplaćeni prihod od prodaje nefinancijske imovine je konačna podmira za otkup stanova. Mimo toga, jedina novost koju bilježimo je relativno mali iznos povrata preplate Porezne uprave zbog SNU usklade. U odnosu na lani, povećana je osnovica za plaće za redovan rad-slijedom toga i za doprinose, prekovremeni rad (nemogućnost pronalaženja zamjena i nužno dodatno zaduženje zaposlenih), a i povećani su i rashodi za posebne uvjete rada zbog spomenute povećane satnice i većeg broja rješenja o posebnom obliku školovanja. Ukupni rast troškova, osim navedenog, čine i povećani rashodi poslovanja zbog rasta cijena, povećanja dnevnica i troškova službenih putovanja, putovanja s/na posao te investicijskog održavanja objekta i opreme (uređenje platoa ispred škole, postavljanje laminata u učionice, ugradnja videoparlafona i čitača kartica na ulazu, ugradnja panik vrata, nabavka namještaja u razredu produženog boravka). Povećani su troškovi za sistematske preglede, za ugovore o djelu (Stem projekt), za računalne i ostale usluge. Na kontu članarina povećanje je evidentirano zbog uključenja zaposlenih u Multisport, što sami podmiruju. Povećan je trošak nabavke radnih bilježnica i drugog obrazovnog materijala, dok su ostali nenavedeni troškovi u glavnini smanjeni. Nepredviđeni trošak je bila izrada elaborata Ing-atest, zajedno s osposobljavanjem za zaštitu na radu te izrade dokumentacije procjene. U ovoj godini smo proslavili 75 godina postojanja škole što je rezultiralo troškovima koji će dijelom doći na naplatu u sljedećoj godini. Sveukupni troškovi su povećani 19%.</w:t>
      </w:r>
    </w:p>
    <w:p>
      <w:r>
        <w:t xml:space="preserve"> </w:t>
      </w:r>
    </w:p>
    <w:p>
      <w:r>
        <w:t xml:space="preserve">Konkretnije u obrascu BILANCA:</w:t>
      </w:r>
    </w:p>
    <w:p>
      <w:r>
        <w:t xml:space="preserve">U 2025. godini je nabavljena oprema vidljiva na kontu/razredu 0. Radi se o projektorima, 2 televizora, fotokopirnim uređajima te računalima za portu-videonadzor, ravnatelja i učionicu informatike. Također, kupljeno je 13 novih klima koje su ugrađene u učionice te knjige u knjižnici. S obzirom na odgodu provođenja inventure, ovogodišnja inventura je opsežna i detaljna te u trenutku izrade izvještaja nije bila okončana. Stoga će dodatna amortizacija biti izvršena odmah po završetku inventure i po dostavi podataka računovodstvu. Na kontu/razredu 1 je vidljivo anuliranje iznosa novca u banci jer su žiroračuni škole ugašeni te su sredstva prebačena na zajedničku riznicu osnivača-Grada Splita. Zbog novog propisa, bilježimo evidentiranje na kontu potraživanja iz nenadležnog proračuna na 1636. Zbog veće količine izlaznih računa, promet po potraživanjima na kontima 165 je također porastao. Kontinuirani rashodi kod vremenskih razgraničenja se više ne evidentiraju pa je konto 193 anuliran. Postoje dospjela potraživanja za roditelje u produženom broavku. Stanje ukupnih obveza na razredu/kontu 2 je veće nego na početku godine. Značajni porast se veže uz nabavku već spomenute opreme, većina koje je nabavljena samim krajem kalendarske godine. Rezultat poslovanja je prema Pravilniku o proračunskom računovodstvu korigiran obveznom korekcijom što je rezultiralo metodološkim manjkom prihoda poslovanja i manjkom prihoda nefinancijske imovine; konta 92221 i 92222. Konačni financijski rezultat (922: 170.608,89 ) je i u ovom obrascu vidljiv kao manjak za pokriće u sljedećem razdoblju: -170.608,89 €.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Sve evidentirane nepodmirene obveze su nedospjele. Ukupni iznos na kraju razdoblja je 200.602,00 €. Sastoje se u glavnini od obveza po plaćama  i nepodmirenih računa za materijalne rashode koji su u statusu predani na naplatu. Obveze za bolovanje nisu zatvorene, jer spomenuto obavlja resorno ministarstvo prema HZZO-u.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EU izvještaj bilježi prihod na kontu 63814 zbog isplate 30%-tnog preostalog iznosa po okončanju EU projekta u iznosu 6.456,90 €. Ukupni potrošak se odnosio u glavnini na troškove službenih putovanja, sitnog inventara i ostalih rashoda. Sredstva projekta do konca godine nisu bila u cijelosti potrošena.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f3aa8c99bbe4e2c" /></Relationships>
</file>